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098" w:type="dxa"/>
        <w:tblLook w:val="04A0" w:firstRow="1" w:lastRow="0" w:firstColumn="1" w:lastColumn="0" w:noHBand="0" w:noVBand="1"/>
      </w:tblPr>
      <w:tblGrid>
        <w:gridCol w:w="4549"/>
        <w:gridCol w:w="4549"/>
      </w:tblGrid>
      <w:tr w:rsidR="000972EF" w14:paraId="101E8296" w14:textId="77777777" w:rsidTr="00865185">
        <w:trPr>
          <w:trHeight w:val="1975"/>
        </w:trPr>
        <w:tc>
          <w:tcPr>
            <w:tcW w:w="4549" w:type="dxa"/>
          </w:tcPr>
          <w:p w14:paraId="3FAECD4D" w14:textId="63B0BBEC" w:rsidR="008E34CB" w:rsidRPr="000972EF" w:rsidRDefault="009A6717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Jack Russell 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Terier</w:t>
            </w:r>
            <w:proofErr w:type="spellEnd"/>
            <w:r>
              <w:rPr>
                <w:rFonts w:ascii="Microsoft Sans Serif" w:hAnsi="Microsoft Sans Serif" w:cs="Microsoft Sans Serif"/>
                <w:sz w:val="36"/>
                <w:szCs w:val="48"/>
              </w:rPr>
              <w:t xml:space="preserve">/Jack Russell </w:t>
            </w:r>
            <w:proofErr w:type="spellStart"/>
            <w:r>
              <w:rPr>
                <w:rFonts w:ascii="Microsoft Sans Serif" w:hAnsi="Microsoft Sans Serif" w:cs="Microsoft Sans Serif"/>
                <w:sz w:val="36"/>
                <w:szCs w:val="48"/>
              </w:rPr>
              <w:t>Terrier</w:t>
            </w:r>
            <w:proofErr w:type="spellEnd"/>
          </w:p>
        </w:tc>
        <w:tc>
          <w:tcPr>
            <w:tcW w:w="4549" w:type="dxa"/>
          </w:tcPr>
          <w:p w14:paraId="3006CE21" w14:textId="77777777" w:rsidR="00141706" w:rsidRPr="000972EF" w:rsidRDefault="00141706" w:rsidP="00141706">
            <w:pPr>
              <w:rPr>
                <w:rFonts w:ascii="Microsoft Sans Serif" w:hAnsi="Microsoft Sans Serif" w:cs="Microsoft Sans Serif"/>
                <w:sz w:val="36"/>
                <w:szCs w:val="48"/>
              </w:rPr>
            </w:pPr>
            <w:r>
              <w:rPr>
                <w:noProof/>
                <w:lang w:eastAsia="cs-CZ"/>
              </w:rPr>
              <w:drawing>
                <wp:anchor distT="0" distB="0" distL="114300" distR="114300" simplePos="0" relativeHeight="251658240" behindDoc="0" locked="0" layoutInCell="1" allowOverlap="1" wp14:anchorId="20F6874C" wp14:editId="5F574A07">
                  <wp:simplePos x="0" y="0"/>
                  <wp:positionH relativeFrom="column">
                    <wp:posOffset>1555133</wp:posOffset>
                  </wp:positionH>
                  <wp:positionV relativeFrom="paragraph">
                    <wp:posOffset>85528</wp:posOffset>
                  </wp:positionV>
                  <wp:extent cx="1140198" cy="1136668"/>
                  <wp:effectExtent l="0" t="0" r="3175" b="6350"/>
                  <wp:wrapNone/>
                  <wp:docPr id="4" name="obrázek 4" descr="Why Do They Cut Off Jack Russell Terriers Tail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Why Do They Cut Off Jack Russell Terriers Tail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1527" cy="11379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7D84699D" w14:textId="77777777" w:rsidR="000972EF" w:rsidRPr="006A6FB0" w:rsidRDefault="000972EF" w:rsidP="006A6FB0">
      <w:pPr>
        <w:spacing w:before="200"/>
        <w:jc w:val="center"/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</w:pPr>
      <w:r w:rsidRPr="006A6FB0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 xml:space="preserve">Známé nebo předpokládané dědičné oční </w:t>
      </w:r>
      <w:r w:rsidR="00402988">
        <w:rPr>
          <w:rFonts w:ascii="Microsoft Sans Serif" w:hAnsi="Microsoft Sans Serif" w:cs="Microsoft Sans Serif"/>
          <w:b/>
          <w:bCs/>
          <w:sz w:val="28"/>
          <w:szCs w:val="40"/>
          <w:u w:val="single"/>
        </w:rPr>
        <w:t>vady</w:t>
      </w:r>
    </w:p>
    <w:tbl>
      <w:tblPr>
        <w:tblStyle w:val="Mkatabulky"/>
        <w:tblW w:w="9146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846"/>
        <w:gridCol w:w="2075"/>
        <w:gridCol w:w="2075"/>
        <w:gridCol w:w="2075"/>
        <w:gridCol w:w="2075"/>
      </w:tblGrid>
      <w:tr w:rsidR="006A6FB0" w14:paraId="293B190F" w14:textId="77777777" w:rsidTr="006A6FB0">
        <w:trPr>
          <w:trHeight w:val="873"/>
        </w:trPr>
        <w:tc>
          <w:tcPr>
            <w:tcW w:w="846" w:type="dxa"/>
          </w:tcPr>
          <w:p w14:paraId="5BD4A3EB" w14:textId="77777777" w:rsidR="000972EF" w:rsidRPr="000972EF" w:rsidRDefault="000972EF" w:rsidP="000972EF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</w:p>
        </w:tc>
        <w:tc>
          <w:tcPr>
            <w:tcW w:w="2075" w:type="dxa"/>
            <w:vAlign w:val="center"/>
          </w:tcPr>
          <w:p w14:paraId="07A16031" w14:textId="77777777" w:rsidR="000972EF" w:rsidRPr="000972EF" w:rsidRDefault="006A6FB0" w:rsidP="006A6FB0">
            <w:pPr>
              <w:jc w:val="center"/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Diagnóza</w:t>
            </w:r>
          </w:p>
        </w:tc>
        <w:tc>
          <w:tcPr>
            <w:tcW w:w="2075" w:type="dxa"/>
            <w:vAlign w:val="center"/>
          </w:tcPr>
          <w:p w14:paraId="54F3E7E7" w14:textId="77777777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Komentáře k diagnóze</w:t>
            </w:r>
          </w:p>
        </w:tc>
        <w:tc>
          <w:tcPr>
            <w:tcW w:w="2075" w:type="dxa"/>
            <w:vAlign w:val="center"/>
          </w:tcPr>
          <w:p w14:paraId="2C147A49" w14:textId="77777777" w:rsid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Genetický test</w:t>
            </w:r>
          </w:p>
          <w:p w14:paraId="28A4158B" w14:textId="77777777" w:rsidR="00A317E5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dědičnost</w:t>
            </w:r>
          </w:p>
        </w:tc>
        <w:tc>
          <w:tcPr>
            <w:tcW w:w="2075" w:type="dxa"/>
            <w:vAlign w:val="center"/>
          </w:tcPr>
          <w:p w14:paraId="39DB32DD" w14:textId="77777777" w:rsidR="000972EF" w:rsidRPr="000972EF" w:rsidRDefault="00A317E5" w:rsidP="00A317E5">
            <w:pPr>
              <w:rPr>
                <w:rFonts w:ascii="Microsoft Sans Serif" w:hAnsi="Microsoft Sans Serif" w:cs="Microsoft Sans Serif"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sz w:val="28"/>
                <w:szCs w:val="40"/>
              </w:rPr>
              <w:t>Doporučení k chovu</w:t>
            </w:r>
          </w:p>
        </w:tc>
      </w:tr>
      <w:tr w:rsidR="009A6717" w14:paraId="3DD276D0" w14:textId="77777777" w:rsidTr="009A6717">
        <w:trPr>
          <w:cantSplit/>
          <w:trHeight w:val="1134"/>
        </w:trPr>
        <w:tc>
          <w:tcPr>
            <w:tcW w:w="846" w:type="dxa"/>
            <w:vAlign w:val="center"/>
          </w:tcPr>
          <w:p w14:paraId="61646453" w14:textId="4E24F156" w:rsidR="009A6717" w:rsidRDefault="009A6717" w:rsidP="009A671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A</w:t>
            </w:r>
          </w:p>
        </w:tc>
        <w:tc>
          <w:tcPr>
            <w:tcW w:w="2075" w:type="dxa"/>
            <w:vAlign w:val="center"/>
          </w:tcPr>
          <w:p w14:paraId="6369C1E1" w14:textId="0F2277C3" w:rsidR="009A6717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Distichiáza</w:t>
            </w:r>
            <w:proofErr w:type="spellEnd"/>
          </w:p>
        </w:tc>
        <w:tc>
          <w:tcPr>
            <w:tcW w:w="2075" w:type="dxa"/>
            <w:vAlign w:val="center"/>
          </w:tcPr>
          <w:p w14:paraId="6B3FCCFF" w14:textId="75A08156" w:rsidR="009A6717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Nástup možný kdykoliv během života</w:t>
            </w:r>
          </w:p>
        </w:tc>
        <w:tc>
          <w:tcPr>
            <w:tcW w:w="2075" w:type="dxa"/>
          </w:tcPr>
          <w:p w14:paraId="09A840EF" w14:textId="5EF7B584" w:rsidR="009A6717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Dědičnost není definována</w:t>
            </w:r>
          </w:p>
        </w:tc>
        <w:tc>
          <w:tcPr>
            <w:tcW w:w="2075" w:type="dxa"/>
          </w:tcPr>
          <w:p w14:paraId="16CFD2B0" w14:textId="2829B657" w:rsidR="009A6717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zvážení, v případě zaškrtnutí políčka „závažný/severe“ NE</w:t>
            </w:r>
          </w:p>
        </w:tc>
      </w:tr>
      <w:tr w:rsidR="009A6717" w14:paraId="6390ED65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28BD58C7" w14:textId="77777777" w:rsidR="009A6717" w:rsidRPr="006A6FB0" w:rsidRDefault="009A6717" w:rsidP="009A671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B</w:t>
            </w:r>
          </w:p>
        </w:tc>
        <w:tc>
          <w:tcPr>
            <w:tcW w:w="2075" w:type="dxa"/>
          </w:tcPr>
          <w:p w14:paraId="0303984C" w14:textId="77777777" w:rsidR="009A6717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PLL</w:t>
            </w:r>
          </w:p>
          <w:p w14:paraId="3BF65275" w14:textId="77777777" w:rsidR="009A6717" w:rsidRPr="00865185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Primární luxace čočky</w:t>
            </w:r>
          </w:p>
        </w:tc>
        <w:tc>
          <w:tcPr>
            <w:tcW w:w="2075" w:type="dxa"/>
          </w:tcPr>
          <w:p w14:paraId="73C62AD8" w14:textId="77777777" w:rsidR="009A6717" w:rsidRPr="00865185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3EC48887" w14:textId="4E9EE18A" w:rsidR="009A6717" w:rsidRDefault="009A6717" w:rsidP="002D593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proofErr w:type="gram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.Autosomálně</w:t>
            </w:r>
            <w:proofErr w:type="gramEnd"/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 recesivní.</w:t>
            </w:r>
          </w:p>
          <w:p w14:paraId="14B67192" w14:textId="77777777" w:rsidR="009A6717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Mutace v genu</w:t>
            </w:r>
          </w:p>
          <w:p w14:paraId="362FAF4D" w14:textId="77777777" w:rsidR="009A6717" w:rsidRPr="00865185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ADAMTS17.</w:t>
            </w:r>
          </w:p>
        </w:tc>
        <w:tc>
          <w:tcPr>
            <w:tcW w:w="2075" w:type="dxa"/>
          </w:tcPr>
          <w:p w14:paraId="5E64FED4" w14:textId="56E2F9A6" w:rsidR="009A6717" w:rsidRPr="00865185" w:rsidRDefault="002D5931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9A6717" w14:paraId="3BC4CF1C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49F0287D" w14:textId="77777777" w:rsidR="009A6717" w:rsidRPr="006A6FB0" w:rsidRDefault="009A6717" w:rsidP="009A671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C</w:t>
            </w:r>
          </w:p>
        </w:tc>
        <w:tc>
          <w:tcPr>
            <w:tcW w:w="2075" w:type="dxa"/>
          </w:tcPr>
          <w:p w14:paraId="1D4E135C" w14:textId="25FBDEA6" w:rsidR="009A6717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PRA –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prcd</w:t>
            </w:r>
            <w:proofErr w:type="spellEnd"/>
          </w:p>
          <w:p w14:paraId="574982FE" w14:textId="77777777" w:rsidR="009A6717" w:rsidRPr="00865185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Progresivní retinální atrofie.</w:t>
            </w:r>
          </w:p>
        </w:tc>
        <w:tc>
          <w:tcPr>
            <w:tcW w:w="2075" w:type="dxa"/>
          </w:tcPr>
          <w:p w14:paraId="3A332A8F" w14:textId="77777777" w:rsidR="009A6717" w:rsidRPr="00865185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</w:p>
        </w:tc>
        <w:tc>
          <w:tcPr>
            <w:tcW w:w="2075" w:type="dxa"/>
          </w:tcPr>
          <w:p w14:paraId="57EFE33D" w14:textId="712A223B" w:rsidR="009A6717" w:rsidRPr="00865185" w:rsidRDefault="009A6717" w:rsidP="002D593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Mutace v genu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prcd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>.</w:t>
            </w:r>
          </w:p>
        </w:tc>
        <w:tc>
          <w:tcPr>
            <w:tcW w:w="2075" w:type="dxa"/>
          </w:tcPr>
          <w:p w14:paraId="28ED899B" w14:textId="53A46667" w:rsidR="009A6717" w:rsidRPr="00865185" w:rsidRDefault="002D5931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9A6717" w14:paraId="348E90D5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084A29CF" w14:textId="77777777" w:rsidR="009A6717" w:rsidRPr="006A6FB0" w:rsidRDefault="009A6717" w:rsidP="009A671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D</w:t>
            </w:r>
          </w:p>
        </w:tc>
        <w:tc>
          <w:tcPr>
            <w:tcW w:w="2075" w:type="dxa"/>
          </w:tcPr>
          <w:p w14:paraId="2032AC5D" w14:textId="77777777" w:rsidR="009A6717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PPM</w:t>
            </w:r>
          </w:p>
          <w:p w14:paraId="530B2E2C" w14:textId="77777777" w:rsidR="009A6717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Perzistující pupilární</w:t>
            </w:r>
          </w:p>
          <w:p w14:paraId="6EF72546" w14:textId="77777777" w:rsidR="009A6717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membrána</w:t>
            </w:r>
          </w:p>
          <w:p w14:paraId="1A5DDFB9" w14:textId="77777777" w:rsidR="009A6717" w:rsidRPr="00865185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Iris-Iris</w:t>
            </w:r>
          </w:p>
        </w:tc>
        <w:tc>
          <w:tcPr>
            <w:tcW w:w="2075" w:type="dxa"/>
          </w:tcPr>
          <w:p w14:paraId="1E5C8843" w14:textId="77777777" w:rsidR="009A6717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Regrese možná </w:t>
            </w:r>
          </w:p>
          <w:p w14:paraId="5EE433D3" w14:textId="77777777" w:rsidR="009A6717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do 3 měsíců </w:t>
            </w:r>
          </w:p>
          <w:p w14:paraId="73A51C69" w14:textId="77777777" w:rsidR="009A6717" w:rsidRPr="00865185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věku. </w:t>
            </w:r>
          </w:p>
        </w:tc>
        <w:tc>
          <w:tcPr>
            <w:tcW w:w="2075" w:type="dxa"/>
          </w:tcPr>
          <w:p w14:paraId="4E2ED699" w14:textId="78702E7C" w:rsidR="009A6717" w:rsidRPr="00865185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Dědičnost není definována</w:t>
            </w:r>
          </w:p>
        </w:tc>
        <w:tc>
          <w:tcPr>
            <w:tcW w:w="2075" w:type="dxa"/>
          </w:tcPr>
          <w:p w14:paraId="4A3A2AF3" w14:textId="51E1D290" w:rsidR="009A6717" w:rsidRPr="00865185" w:rsidRDefault="00776ED2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9A6717" w14:paraId="71D13055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5C570C13" w14:textId="77777777" w:rsidR="009A6717" w:rsidRDefault="009A6717" w:rsidP="009A671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E</w:t>
            </w:r>
          </w:p>
        </w:tc>
        <w:tc>
          <w:tcPr>
            <w:tcW w:w="2075" w:type="dxa"/>
          </w:tcPr>
          <w:p w14:paraId="127726CC" w14:textId="735DA0DA" w:rsidR="009A6717" w:rsidRPr="00865185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Katarakta</w:t>
            </w:r>
          </w:p>
        </w:tc>
        <w:tc>
          <w:tcPr>
            <w:tcW w:w="2075" w:type="dxa"/>
          </w:tcPr>
          <w:p w14:paraId="69F0CAF2" w14:textId="77777777" w:rsidR="009A6717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Nástup a progrese variabilní.</w:t>
            </w:r>
          </w:p>
          <w:p w14:paraId="55A69A94" w14:textId="77777777" w:rsidR="009A6717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Nejčastěji ve věku</w:t>
            </w:r>
          </w:p>
          <w:p w14:paraId="00181730" w14:textId="7384F27C" w:rsidR="009A6717" w:rsidRPr="00865185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8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měs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>. až 3 let.</w:t>
            </w:r>
          </w:p>
        </w:tc>
        <w:tc>
          <w:tcPr>
            <w:tcW w:w="2075" w:type="dxa"/>
          </w:tcPr>
          <w:p w14:paraId="674F8666" w14:textId="6F9612BF" w:rsidR="009A6717" w:rsidRPr="00865185" w:rsidRDefault="002D5931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70E3E4E6" w14:textId="67A16398" w:rsidR="009A6717" w:rsidRPr="00865185" w:rsidRDefault="002D5931" w:rsidP="002D5931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  <w:tr w:rsidR="009A6717" w14:paraId="2529FA8D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01381290" w14:textId="77777777" w:rsidR="009A6717" w:rsidRDefault="009A6717" w:rsidP="009A671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F</w:t>
            </w:r>
          </w:p>
        </w:tc>
        <w:tc>
          <w:tcPr>
            <w:tcW w:w="2075" w:type="dxa"/>
          </w:tcPr>
          <w:p w14:paraId="5F2CBE28" w14:textId="77777777" w:rsidR="009A6717" w:rsidRPr="00865185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Degenerace sklivce</w:t>
            </w:r>
          </w:p>
        </w:tc>
        <w:tc>
          <w:tcPr>
            <w:tcW w:w="2075" w:type="dxa"/>
          </w:tcPr>
          <w:p w14:paraId="5287E5F0" w14:textId="77777777" w:rsidR="009A6717" w:rsidRPr="00865185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Těžká forma může vést až k odchlípení sítnice.</w:t>
            </w:r>
          </w:p>
        </w:tc>
        <w:tc>
          <w:tcPr>
            <w:tcW w:w="2075" w:type="dxa"/>
          </w:tcPr>
          <w:p w14:paraId="390EDBA2" w14:textId="6B5A1009" w:rsidR="009A6717" w:rsidRPr="00865185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Dědičnost není definována</w:t>
            </w:r>
          </w:p>
        </w:tc>
        <w:tc>
          <w:tcPr>
            <w:tcW w:w="2075" w:type="dxa"/>
          </w:tcPr>
          <w:p w14:paraId="0A0CB936" w14:textId="4E7F2C2C" w:rsidR="009A6717" w:rsidRPr="00865185" w:rsidRDefault="002D5931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Chov na zvážení</w:t>
            </w:r>
          </w:p>
        </w:tc>
      </w:tr>
      <w:tr w:rsidR="009A6717" w14:paraId="0578FF2A" w14:textId="77777777" w:rsidTr="006A6FB0">
        <w:trPr>
          <w:cantSplit/>
          <w:trHeight w:val="1134"/>
        </w:trPr>
        <w:tc>
          <w:tcPr>
            <w:tcW w:w="846" w:type="dxa"/>
            <w:vAlign w:val="center"/>
          </w:tcPr>
          <w:p w14:paraId="567DB3F6" w14:textId="77777777" w:rsidR="009A6717" w:rsidRDefault="009A6717" w:rsidP="009A6717">
            <w:pPr>
              <w:jc w:val="center"/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</w:pPr>
            <w:r>
              <w:rPr>
                <w:rFonts w:ascii="Microsoft Sans Serif" w:hAnsi="Microsoft Sans Serif" w:cs="Microsoft Sans Serif"/>
                <w:b/>
                <w:bCs/>
                <w:sz w:val="28"/>
                <w:szCs w:val="40"/>
              </w:rPr>
              <w:t>G</w:t>
            </w:r>
          </w:p>
        </w:tc>
        <w:tc>
          <w:tcPr>
            <w:tcW w:w="2075" w:type="dxa"/>
          </w:tcPr>
          <w:p w14:paraId="2F6DBBCF" w14:textId="77777777" w:rsidR="009A6717" w:rsidRPr="00865185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Primární glaukom</w:t>
            </w:r>
          </w:p>
        </w:tc>
        <w:tc>
          <w:tcPr>
            <w:tcW w:w="2075" w:type="dxa"/>
          </w:tcPr>
          <w:p w14:paraId="1FCACD11" w14:textId="77777777" w:rsidR="009A6717" w:rsidRPr="00865185" w:rsidRDefault="009A6717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 xml:space="preserve">Primární glaukom následkem </w:t>
            </w:r>
            <w:proofErr w:type="spellStart"/>
            <w:r>
              <w:rPr>
                <w:rFonts w:ascii="Microsoft Sans Serif" w:hAnsi="Microsoft Sans Serif" w:cs="Microsoft Sans Serif"/>
                <w:sz w:val="22"/>
                <w:szCs w:val="32"/>
              </w:rPr>
              <w:t>goniodysplazie</w:t>
            </w:r>
            <w:proofErr w:type="spellEnd"/>
            <w:r>
              <w:rPr>
                <w:rFonts w:ascii="Microsoft Sans Serif" w:hAnsi="Microsoft Sans Serif" w:cs="Microsoft Sans Serif"/>
                <w:sz w:val="22"/>
                <w:szCs w:val="32"/>
              </w:rPr>
              <w:t>.</w:t>
            </w:r>
          </w:p>
        </w:tc>
        <w:tc>
          <w:tcPr>
            <w:tcW w:w="2075" w:type="dxa"/>
          </w:tcPr>
          <w:p w14:paraId="4229C8FC" w14:textId="52AF0D50" w:rsidR="009A6717" w:rsidRPr="00865185" w:rsidRDefault="002D5931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  <w:tc>
          <w:tcPr>
            <w:tcW w:w="2075" w:type="dxa"/>
          </w:tcPr>
          <w:p w14:paraId="58105425" w14:textId="3EFA7399" w:rsidR="009A6717" w:rsidRPr="00865185" w:rsidRDefault="002D5931" w:rsidP="009A6717">
            <w:pPr>
              <w:jc w:val="center"/>
              <w:rPr>
                <w:rFonts w:ascii="Microsoft Sans Serif" w:hAnsi="Microsoft Sans Serif" w:cs="Microsoft Sans Serif"/>
                <w:sz w:val="22"/>
                <w:szCs w:val="32"/>
              </w:rPr>
            </w:pPr>
            <w:r>
              <w:rPr>
                <w:rFonts w:ascii="Microsoft Sans Serif" w:hAnsi="Microsoft Sans Serif" w:cs="Microsoft Sans Serif"/>
                <w:sz w:val="22"/>
                <w:szCs w:val="32"/>
              </w:rPr>
              <w:t>NE</w:t>
            </w:r>
          </w:p>
        </w:tc>
      </w:tr>
    </w:tbl>
    <w:p w14:paraId="2199B662" w14:textId="637E0A3D" w:rsidR="006A6FB0" w:rsidRPr="006A6FB0" w:rsidRDefault="006A6FB0" w:rsidP="006A6FB0">
      <w:pPr>
        <w:spacing w:before="200"/>
        <w:rPr>
          <w:rFonts w:ascii="Microsoft Sans Serif" w:hAnsi="Microsoft Sans Serif" w:cs="Microsoft Sans Serif"/>
          <w:sz w:val="28"/>
          <w:szCs w:val="40"/>
        </w:rPr>
      </w:pPr>
    </w:p>
    <w:sectPr w:rsidR="006A6FB0" w:rsidRPr="006A6FB0" w:rsidSect="000972E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B1201" w14:textId="77777777" w:rsidR="00A36BE9" w:rsidRDefault="00A36BE9" w:rsidP="000972EF">
      <w:pPr>
        <w:spacing w:after="0" w:line="240" w:lineRule="auto"/>
      </w:pPr>
      <w:r>
        <w:separator/>
      </w:r>
    </w:p>
  </w:endnote>
  <w:endnote w:type="continuationSeparator" w:id="0">
    <w:p w14:paraId="3881199C" w14:textId="77777777" w:rsidR="00A36BE9" w:rsidRDefault="00A36BE9" w:rsidP="0009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 (Základní text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A3321" w14:textId="77777777" w:rsidR="00A36BE9" w:rsidRDefault="00A36BE9" w:rsidP="000972EF">
      <w:pPr>
        <w:spacing w:after="0" w:line="240" w:lineRule="auto"/>
      </w:pPr>
      <w:r>
        <w:separator/>
      </w:r>
    </w:p>
  </w:footnote>
  <w:footnote w:type="continuationSeparator" w:id="0">
    <w:p w14:paraId="13FAFA0A" w14:textId="77777777" w:rsidR="00A36BE9" w:rsidRDefault="00A36BE9" w:rsidP="000972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654E2" w14:textId="23B92011" w:rsidR="000972EF" w:rsidRPr="005A7157" w:rsidRDefault="00947339">
    <w:pPr>
      <w:pStyle w:val="Zhlav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46F7139" wp14:editId="08399295">
              <wp:simplePos x="0" y="0"/>
              <wp:positionH relativeFrom="page">
                <wp:posOffset>884555</wp:posOffset>
              </wp:positionH>
              <wp:positionV relativeFrom="page">
                <wp:posOffset>318770</wp:posOffset>
              </wp:positionV>
              <wp:extent cx="5804535" cy="283210"/>
              <wp:effectExtent l="0" t="0" r="0" b="0"/>
              <wp:wrapNone/>
              <wp:docPr id="546458612" name="Obdélní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04535" cy="283210"/>
                      </a:xfrm>
                      <a:prstGeom prst="rect">
                        <a:avLst/>
                      </a:prstGeom>
                      <a:solidFill>
                        <a:schemeClr val="tx2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b/>
                              <w:caps/>
                              <w:spacing w:val="20"/>
                              <w:sz w:val="28"/>
                              <w:szCs w:val="28"/>
                            </w:rPr>
                            <w:alias w:val="Název"/>
                            <w:tag w:val=""/>
                            <w:id w:val="-155760336"/>
                            <w:showingPlcHdr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52577F2F" w14:textId="77777777" w:rsidR="000972EF" w:rsidRDefault="00865185">
                              <w:pPr>
                                <w:pStyle w:val="Bezmezer"/>
                                <w:jc w:val="center"/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aps/>
                                  <w:spacing w:val="20"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46F7139" id="Obdélník 1" o:spid="_x0000_s1026" style="position:absolute;margin-left:69.65pt;margin-top:25.1pt;width:457.0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" fillcolor="#0e2841 [3215]" stroked="f" strokeweight="1pt">
              <v:textbox inset=",0,,0">
                <w:txbxContent>
                  <w:sdt>
                    <w:sdtPr>
                      <w:rPr>
                        <w:b/>
                        <w:caps/>
                        <w:spacing w:val="20"/>
                        <w:sz w:val="28"/>
                        <w:szCs w:val="28"/>
                      </w:rPr>
                      <w:alias w:val="Název"/>
                      <w:tag w:val=""/>
                      <w:id w:val="-155760336"/>
                      <w:showingPlcHdr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52577F2F" w14:textId="77777777" w:rsidR="000972EF" w:rsidRDefault="00865185">
                        <w:pPr>
                          <w:pStyle w:val="Bezmezer"/>
                          <w:jc w:val="center"/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aps/>
                            <w:spacing w:val="20"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</w:p>
  <w:p w14:paraId="6C73429B" w14:textId="77777777" w:rsidR="000972EF" w:rsidRDefault="000972EF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2988"/>
    <w:rsid w:val="00070791"/>
    <w:rsid w:val="000972EF"/>
    <w:rsid w:val="000A7A45"/>
    <w:rsid w:val="00113876"/>
    <w:rsid w:val="00117B5E"/>
    <w:rsid w:val="00141706"/>
    <w:rsid w:val="00161F3B"/>
    <w:rsid w:val="001749BC"/>
    <w:rsid w:val="00197F02"/>
    <w:rsid w:val="002206AC"/>
    <w:rsid w:val="002D5931"/>
    <w:rsid w:val="00384979"/>
    <w:rsid w:val="00402988"/>
    <w:rsid w:val="00470BF2"/>
    <w:rsid w:val="00495C11"/>
    <w:rsid w:val="004C1DA7"/>
    <w:rsid w:val="005066E8"/>
    <w:rsid w:val="00521194"/>
    <w:rsid w:val="005B4418"/>
    <w:rsid w:val="006021EF"/>
    <w:rsid w:val="00655705"/>
    <w:rsid w:val="006703D2"/>
    <w:rsid w:val="006A6FB0"/>
    <w:rsid w:val="00776ED2"/>
    <w:rsid w:val="007A315C"/>
    <w:rsid w:val="00865185"/>
    <w:rsid w:val="008E34CB"/>
    <w:rsid w:val="00947339"/>
    <w:rsid w:val="009A6717"/>
    <w:rsid w:val="00A1193A"/>
    <w:rsid w:val="00A317E5"/>
    <w:rsid w:val="00A36BE9"/>
    <w:rsid w:val="00A84094"/>
    <w:rsid w:val="00A847ED"/>
    <w:rsid w:val="00C36439"/>
    <w:rsid w:val="00CD3F72"/>
    <w:rsid w:val="00CF199B"/>
    <w:rsid w:val="00D10A7D"/>
    <w:rsid w:val="00DF609E"/>
    <w:rsid w:val="00E8198D"/>
    <w:rsid w:val="00EC3BF0"/>
    <w:rsid w:val="00EF20F1"/>
    <w:rsid w:val="00F061CD"/>
    <w:rsid w:val="00F167C0"/>
    <w:rsid w:val="00FB53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408A27"/>
  <w15:docId w15:val="{512A7D66-0F54-43DB-A503-EE807B6AA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="Times New Roman (Základní text"/>
        <w:sz w:val="24"/>
        <w:szCs w:val="36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1193A"/>
  </w:style>
  <w:style w:type="paragraph" w:styleId="Nadpis1">
    <w:name w:val="heading 1"/>
    <w:basedOn w:val="Normln"/>
    <w:next w:val="Normln"/>
    <w:link w:val="Nadpis1Char"/>
    <w:uiPriority w:val="9"/>
    <w:qFormat/>
    <w:rsid w:val="00A1193A"/>
    <w:pPr>
      <w:spacing w:before="480" w:after="0"/>
      <w:contextualSpacing/>
      <w:outlineLvl w:val="0"/>
    </w:pPr>
    <w:rPr>
      <w:smallCaps/>
      <w:spacing w:val="5"/>
      <w:sz w:val="36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1193A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1193A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1193A"/>
    <w:pPr>
      <w:spacing w:after="0" w:line="271" w:lineRule="auto"/>
      <w:outlineLvl w:val="3"/>
    </w:pPr>
    <w:rPr>
      <w:b/>
      <w:bCs/>
      <w:spacing w:val="5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1193A"/>
    <w:pPr>
      <w:spacing w:after="0" w:line="271" w:lineRule="auto"/>
      <w:outlineLvl w:val="4"/>
    </w:pPr>
    <w:rPr>
      <w:i/>
      <w:iCs/>
      <w:szCs w:val="24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1193A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1193A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1193A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1193A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1193A"/>
    <w:rPr>
      <w:smallCaps/>
      <w:spacing w:val="5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1193A"/>
    <w:rPr>
      <w:smallCap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1193A"/>
    <w:rPr>
      <w:i/>
      <w:iCs/>
      <w:smallCaps/>
      <w:spacing w:val="5"/>
      <w:sz w:val="26"/>
      <w:szCs w:val="26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1193A"/>
    <w:rPr>
      <w:b/>
      <w:bCs/>
      <w:spacing w:val="5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1193A"/>
    <w:rPr>
      <w:i/>
      <w:iCs/>
      <w:sz w:val="24"/>
      <w:szCs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1193A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1193A"/>
    <w:rPr>
      <w:b/>
      <w:bCs/>
      <w:i/>
      <w:iCs/>
      <w:color w:val="5A5A5A" w:themeColor="text1" w:themeTint="A5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1193A"/>
    <w:rPr>
      <w:b/>
      <w:bCs/>
      <w:color w:val="7F7F7F" w:themeColor="text1" w:themeTint="8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1193A"/>
    <w:rPr>
      <w:b/>
      <w:bCs/>
      <w:i/>
      <w:iCs/>
      <w:color w:val="7F7F7F" w:themeColor="text1" w:themeTint="80"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rsid w:val="00A1193A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A1193A"/>
    <w:rPr>
      <w:smallCaps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1193A"/>
    <w:rPr>
      <w:i/>
      <w:iCs/>
      <w:smallCaps/>
      <w:spacing w:val="10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1193A"/>
    <w:rPr>
      <w:i/>
      <w:iCs/>
      <w:smallCaps/>
      <w:spacing w:val="10"/>
      <w:sz w:val="28"/>
      <w:szCs w:val="28"/>
    </w:rPr>
  </w:style>
  <w:style w:type="character" w:styleId="Siln">
    <w:name w:val="Strong"/>
    <w:uiPriority w:val="22"/>
    <w:qFormat/>
    <w:rsid w:val="00A1193A"/>
    <w:rPr>
      <w:b/>
      <w:bCs/>
    </w:rPr>
  </w:style>
  <w:style w:type="character" w:styleId="Zdraznn">
    <w:name w:val="Emphasis"/>
    <w:uiPriority w:val="20"/>
    <w:qFormat/>
    <w:rsid w:val="00A1193A"/>
    <w:rPr>
      <w:b/>
      <w:bCs/>
      <w:i/>
      <w:iCs/>
      <w:spacing w:val="10"/>
    </w:rPr>
  </w:style>
  <w:style w:type="paragraph" w:styleId="Bezmezer">
    <w:name w:val="No Spacing"/>
    <w:basedOn w:val="Normln"/>
    <w:link w:val="BezmezerChar"/>
    <w:uiPriority w:val="1"/>
    <w:qFormat/>
    <w:rsid w:val="00A1193A"/>
    <w:pPr>
      <w:spacing w:after="0" w:line="240" w:lineRule="auto"/>
    </w:pPr>
  </w:style>
  <w:style w:type="character" w:customStyle="1" w:styleId="BezmezerChar">
    <w:name w:val="Bez mezer Char"/>
    <w:basedOn w:val="Standardnpsmoodstavce"/>
    <w:link w:val="Bezmezer"/>
    <w:uiPriority w:val="1"/>
    <w:rsid w:val="00A1193A"/>
  </w:style>
  <w:style w:type="paragraph" w:styleId="Odstavecseseznamem">
    <w:name w:val="List Paragraph"/>
    <w:basedOn w:val="Normln"/>
    <w:uiPriority w:val="34"/>
    <w:qFormat/>
    <w:rsid w:val="00A1193A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A1193A"/>
    <w:rPr>
      <w:i/>
      <w:iCs/>
    </w:rPr>
  </w:style>
  <w:style w:type="character" w:customStyle="1" w:styleId="CittChar">
    <w:name w:val="Citát Char"/>
    <w:basedOn w:val="Standardnpsmoodstavce"/>
    <w:link w:val="Citt"/>
    <w:uiPriority w:val="29"/>
    <w:rsid w:val="00A1193A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1193A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1193A"/>
    <w:rPr>
      <w:i/>
      <w:iCs/>
    </w:rPr>
  </w:style>
  <w:style w:type="character" w:styleId="Zdraznnjemn">
    <w:name w:val="Subtle Emphasis"/>
    <w:uiPriority w:val="19"/>
    <w:qFormat/>
    <w:rsid w:val="00A1193A"/>
    <w:rPr>
      <w:i/>
      <w:iCs/>
    </w:rPr>
  </w:style>
  <w:style w:type="character" w:styleId="Zdraznnintenzivn">
    <w:name w:val="Intense Emphasis"/>
    <w:uiPriority w:val="21"/>
    <w:qFormat/>
    <w:rsid w:val="00A1193A"/>
    <w:rPr>
      <w:b/>
      <w:bCs/>
      <w:i/>
      <w:iCs/>
    </w:rPr>
  </w:style>
  <w:style w:type="character" w:styleId="Odkazjemn">
    <w:name w:val="Subtle Reference"/>
    <w:basedOn w:val="Standardnpsmoodstavce"/>
    <w:uiPriority w:val="31"/>
    <w:qFormat/>
    <w:rsid w:val="00A1193A"/>
    <w:rPr>
      <w:smallCaps/>
    </w:rPr>
  </w:style>
  <w:style w:type="character" w:styleId="Odkazintenzivn">
    <w:name w:val="Intense Reference"/>
    <w:uiPriority w:val="32"/>
    <w:qFormat/>
    <w:rsid w:val="00A1193A"/>
    <w:rPr>
      <w:b/>
      <w:bCs/>
      <w:smallCaps/>
    </w:rPr>
  </w:style>
  <w:style w:type="character" w:styleId="Nzevknihy">
    <w:name w:val="Book Title"/>
    <w:basedOn w:val="Standardnpsmoodstavce"/>
    <w:uiPriority w:val="33"/>
    <w:qFormat/>
    <w:rsid w:val="00A1193A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A1193A"/>
    <w:pPr>
      <w:outlineLvl w:val="9"/>
    </w:pPr>
  </w:style>
  <w:style w:type="paragraph" w:styleId="Zhlav">
    <w:name w:val="header"/>
    <w:basedOn w:val="Normln"/>
    <w:link w:val="Zhlav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972EF"/>
  </w:style>
  <w:style w:type="paragraph" w:styleId="Zpat">
    <w:name w:val="footer"/>
    <w:basedOn w:val="Normln"/>
    <w:link w:val="ZpatChar"/>
    <w:uiPriority w:val="99"/>
    <w:unhideWhenUsed/>
    <w:rsid w:val="0009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972EF"/>
  </w:style>
  <w:style w:type="table" w:styleId="Mkatabulky">
    <w:name w:val="Table Grid"/>
    <w:basedOn w:val="Normlntabulka"/>
    <w:uiPriority w:val="39"/>
    <w:rsid w:val="00097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1417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14170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cie\Desktop\DOV\Brno%2024.8\David%20Manua&#769;l+-+KVL+DOO+web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 2013 –⁠ 2022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David Manuál+-+KVL+DOO+web</Template>
  <TotalTime>6</TotalTime>
  <Pages>1</Pages>
  <Words>122</Words>
  <Characters>725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Veterinární klinika VLTAVA</dc:creator>
  <cp:keywords/>
  <dc:description/>
  <cp:lastModifiedBy>Lucie Míková</cp:lastModifiedBy>
  <cp:revision>6</cp:revision>
  <dcterms:created xsi:type="dcterms:W3CDTF">2025-02-03T22:45:00Z</dcterms:created>
  <dcterms:modified xsi:type="dcterms:W3CDTF">2025-04-19T05:27:00Z</dcterms:modified>
</cp:coreProperties>
</file>